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A377" w14:textId="77777777" w:rsidR="00903DA7" w:rsidRPr="00903DA7" w:rsidRDefault="00903DA7" w:rsidP="00903DA7">
      <w:pPr>
        <w:spacing w:after="0" w:line="240" w:lineRule="auto"/>
        <w:rPr>
          <w:rFonts w:ascii="Verdana" w:hAnsi="Verdana"/>
          <w:b/>
          <w:bCs/>
          <w:sz w:val="4"/>
          <w:szCs w:val="4"/>
        </w:rPr>
      </w:pPr>
    </w:p>
    <w:p w14:paraId="59C1340F" w14:textId="056DA3FE" w:rsidR="00903DA7" w:rsidRPr="00903DA7" w:rsidRDefault="00903DA7" w:rsidP="00903DA7">
      <w:pPr>
        <w:spacing w:after="0" w:line="240" w:lineRule="auto"/>
        <w:jc w:val="right"/>
        <w:rPr>
          <w:rFonts w:ascii="Verdana" w:hAnsi="Verdana"/>
          <w:b/>
          <w:bCs/>
          <w:sz w:val="16"/>
          <w:szCs w:val="16"/>
        </w:rPr>
      </w:pPr>
      <w:r w:rsidRPr="00903DA7">
        <w:rPr>
          <w:rFonts w:ascii="Verdana" w:hAnsi="Verdana"/>
          <w:b/>
          <w:bCs/>
          <w:sz w:val="16"/>
          <w:szCs w:val="16"/>
        </w:rPr>
        <w:t>Załącznik nr 2 – Opis Przedmiotu Zamówienia</w:t>
      </w:r>
    </w:p>
    <w:p w14:paraId="411CC41D" w14:textId="77777777" w:rsidR="00903DA7" w:rsidRPr="00A67A96" w:rsidRDefault="00903DA7" w:rsidP="00903DA7">
      <w:pPr>
        <w:spacing w:after="0" w:line="360" w:lineRule="auto"/>
        <w:jc w:val="right"/>
        <w:rPr>
          <w:rFonts w:ascii="Verdana" w:eastAsiaTheme="minorHAnsi" w:hAnsi="Verdana" w:cs="Arial"/>
          <w:b/>
          <w:color w:val="7030A0"/>
          <w:sz w:val="16"/>
          <w:szCs w:val="16"/>
        </w:rPr>
      </w:pPr>
      <w:r w:rsidRPr="00A67A96">
        <w:rPr>
          <w:rFonts w:ascii="Verdana" w:eastAsiaTheme="minorHAnsi" w:hAnsi="Verdana" w:cs="Arial"/>
          <w:b/>
          <w:color w:val="7030A0"/>
          <w:sz w:val="16"/>
          <w:szCs w:val="16"/>
        </w:rPr>
        <w:t>Nr sprawy: NZP.272.70.2026</w:t>
      </w:r>
    </w:p>
    <w:p w14:paraId="079C70B8" w14:textId="77777777" w:rsidR="00903DA7" w:rsidRPr="00903DA7" w:rsidRDefault="00903DA7" w:rsidP="00903DA7">
      <w:pPr>
        <w:spacing w:after="0" w:line="360" w:lineRule="auto"/>
        <w:jc w:val="right"/>
        <w:rPr>
          <w:rFonts w:ascii="Verdana" w:eastAsiaTheme="minorHAnsi" w:hAnsi="Verdana" w:cs="Arial"/>
          <w:b/>
          <w:color w:val="7030A0"/>
          <w:sz w:val="16"/>
          <w:szCs w:val="16"/>
        </w:rPr>
      </w:pPr>
      <w:r w:rsidRPr="00A67A96">
        <w:rPr>
          <w:rFonts w:ascii="Verdana" w:eastAsiaTheme="minorHAnsi" w:hAnsi="Verdana" w:cs="Arial"/>
          <w:b/>
          <w:color w:val="7030A0"/>
          <w:sz w:val="16"/>
          <w:szCs w:val="16"/>
        </w:rPr>
        <w:t>Pakiet nr 1</w:t>
      </w:r>
      <w:r w:rsidRPr="00903DA7">
        <w:rPr>
          <w:rFonts w:ascii="Verdana" w:eastAsiaTheme="minorHAnsi" w:hAnsi="Verdana" w:cs="Arial"/>
          <w:b/>
          <w:color w:val="7030A0"/>
          <w:sz w:val="16"/>
          <w:szCs w:val="16"/>
        </w:rPr>
        <w:t xml:space="preserve"> </w:t>
      </w:r>
    </w:p>
    <w:p w14:paraId="6E9BA10F" w14:textId="52776287" w:rsidR="00F74240" w:rsidRPr="004F543B" w:rsidRDefault="004F543B" w:rsidP="004F543B">
      <w:pPr>
        <w:jc w:val="center"/>
        <w:rPr>
          <w:rFonts w:ascii="Verdana" w:eastAsiaTheme="minorHAnsi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OPIS PRZEDMIOTU ZAMÓWIENIA</w:t>
      </w:r>
    </w:p>
    <w:p w14:paraId="75C1E15F" w14:textId="77777777" w:rsidR="004F543B" w:rsidRPr="004F543B" w:rsidRDefault="004F543B" w:rsidP="004F543B">
      <w:pPr>
        <w:numPr>
          <w:ilvl w:val="0"/>
          <w:numId w:val="10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Przedmiotem zamówienia jest zakup rozszerzenia o 200 dodatkowych użytkowników i przedłużenia licencji bazowej dla 1800 użytkowników ESET PROTECT ENTERPRISE do posiadanego przez Zamawiającego systemu antywirusowego „ESET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Endpoint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Security + ESET Server Security, ESET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Inspect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, ESET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LiveGuard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Advanced for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Endpoint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Security + Server Security, ESET Full Disk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Encryption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>”.</w:t>
      </w:r>
    </w:p>
    <w:p w14:paraId="29EFF106" w14:textId="77777777" w:rsidR="004F543B" w:rsidRPr="004F543B" w:rsidRDefault="004F543B" w:rsidP="004F543B">
      <w:pPr>
        <w:spacing w:after="0" w:line="240" w:lineRule="auto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74FE423A" w14:textId="77777777" w:rsidR="004F543B" w:rsidRPr="004F543B" w:rsidRDefault="004F543B" w:rsidP="004F543B">
      <w:pPr>
        <w:numPr>
          <w:ilvl w:val="0"/>
          <w:numId w:val="10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Oznaczenie przedmiotu zamówienia wg Kod CPV:</w:t>
      </w:r>
    </w:p>
    <w:p w14:paraId="593F9D1C" w14:textId="77777777" w:rsidR="004F543B" w:rsidRPr="004F543B" w:rsidRDefault="004F543B" w:rsidP="004F543B">
      <w:pPr>
        <w:spacing w:after="0" w:line="240" w:lineRule="auto"/>
        <w:ind w:left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48760000-3 Pakiety oprogramowania do ochrony antywirusowej</w:t>
      </w:r>
    </w:p>
    <w:p w14:paraId="787B26B1" w14:textId="77777777" w:rsidR="004F543B" w:rsidRPr="004F543B" w:rsidRDefault="004F543B" w:rsidP="004F543B">
      <w:pPr>
        <w:spacing w:after="0" w:line="240" w:lineRule="auto"/>
        <w:ind w:left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48000000-8 Pakiety oprogramowania i systemy informatyczne</w:t>
      </w:r>
    </w:p>
    <w:p w14:paraId="2788473E" w14:textId="77777777" w:rsidR="004F543B" w:rsidRPr="004F543B" w:rsidRDefault="004F543B" w:rsidP="004F543B">
      <w:pPr>
        <w:spacing w:after="0" w:line="240" w:lineRule="auto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3221E194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3.  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Zamawiający posiada licencje ESET PROTECT Enterprise ON-PREM (identyfikator publiczny 33C-4D7-43R)</w:t>
      </w:r>
    </w:p>
    <w:p w14:paraId="58D7AC40" w14:textId="77777777" w:rsidR="004F543B" w:rsidRPr="004F543B" w:rsidRDefault="004F543B" w:rsidP="004F543B">
      <w:pPr>
        <w:spacing w:after="0" w:line="240" w:lineRule="auto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64F80A02" w14:textId="77777777" w:rsidR="004F543B" w:rsidRPr="004F543B" w:rsidRDefault="004F543B" w:rsidP="004F543B">
      <w:pPr>
        <w:numPr>
          <w:ilvl w:val="0"/>
          <w:numId w:val="11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Aktualnie posiadana przez Zamawiającego licencja bazowa jest ważna do dn. 15.11.2026 r.</w:t>
      </w:r>
    </w:p>
    <w:p w14:paraId="1AA4EB1C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43DC58BA" w14:textId="77777777" w:rsidR="004F543B" w:rsidRPr="004F543B" w:rsidRDefault="004F543B" w:rsidP="004F543B">
      <w:pPr>
        <w:numPr>
          <w:ilvl w:val="0"/>
          <w:numId w:val="11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Licencja na Oprogramowanie zostanie udzielona na okres od dnia podpisania protokołu odbioru licencji do dnia 15.11.2029 r. </w:t>
      </w:r>
    </w:p>
    <w:p w14:paraId="7744C350" w14:textId="77777777" w:rsidR="004F543B" w:rsidRPr="004F543B" w:rsidRDefault="004F543B" w:rsidP="004F543B">
      <w:pPr>
        <w:spacing w:line="259" w:lineRule="auto"/>
        <w:ind w:left="720"/>
        <w:contextualSpacing/>
        <w:rPr>
          <w:rFonts w:ascii="Verdana" w:eastAsiaTheme="minorHAnsi" w:hAnsi="Verdana" w:cstheme="minorBidi"/>
          <w:sz w:val="16"/>
          <w:szCs w:val="16"/>
        </w:rPr>
      </w:pPr>
    </w:p>
    <w:p w14:paraId="2405DBE9" w14:textId="77777777" w:rsidR="004F543B" w:rsidRPr="004F543B" w:rsidRDefault="004F543B" w:rsidP="004F543B">
      <w:pPr>
        <w:numPr>
          <w:ilvl w:val="0"/>
          <w:numId w:val="11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Wykonawca dostarczy dokumenty licencyjne, warunki licencjonowania oraz klucze licencyjne i instrukcje instalacji do Oprogramowania na adres e-mail: </w:t>
      </w:r>
      <w:hyperlink r:id="rId5" w:history="1">
        <w:r w:rsidRPr="004F543B">
          <w:rPr>
            <w:rFonts w:ascii="Verdana" w:eastAsiaTheme="minorHAnsi" w:hAnsi="Verdana" w:cstheme="minorBidi"/>
            <w:color w:val="0563C1" w:themeColor="hyperlink"/>
            <w:sz w:val="16"/>
            <w:szCs w:val="16"/>
            <w:u w:val="single"/>
          </w:rPr>
          <w:t>postepowania-it@kopernik.lodz.pl</w:t>
        </w:r>
      </w:hyperlink>
      <w:r w:rsidRPr="004F543B">
        <w:rPr>
          <w:rFonts w:ascii="Verdana" w:eastAsiaTheme="minorHAnsi" w:hAnsi="Verdana" w:cstheme="minorBidi"/>
          <w:sz w:val="16"/>
          <w:szCs w:val="16"/>
        </w:rPr>
        <w:t xml:space="preserve"> </w:t>
      </w:r>
    </w:p>
    <w:p w14:paraId="0FD23943" w14:textId="77777777" w:rsidR="004F543B" w:rsidRPr="004F543B" w:rsidRDefault="004F543B" w:rsidP="004F543B">
      <w:pPr>
        <w:spacing w:after="0" w:line="240" w:lineRule="auto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0EEB7AFC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7. 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Udzielona na oprogramowanie licencja musi umożliwiać co najmniej:</w:t>
      </w:r>
    </w:p>
    <w:p w14:paraId="7AD9DF7F" w14:textId="77777777" w:rsidR="004F543B" w:rsidRPr="004F543B" w:rsidRDefault="004F543B" w:rsidP="004F543B">
      <w:pPr>
        <w:spacing w:after="0" w:line="240" w:lineRule="auto"/>
        <w:ind w:left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7.1. Dostęp do subskrypcji aktualnych baz sygnatur.</w:t>
      </w:r>
    </w:p>
    <w:p w14:paraId="1360160F" w14:textId="77777777" w:rsidR="004F543B" w:rsidRPr="004F543B" w:rsidRDefault="004F543B" w:rsidP="004F543B">
      <w:pPr>
        <w:spacing w:after="0" w:line="240" w:lineRule="auto"/>
        <w:ind w:left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7.2. Dostęp do najnowszej wersji oprogramowania.</w:t>
      </w:r>
    </w:p>
    <w:p w14:paraId="683AE7EE" w14:textId="77777777" w:rsidR="004F543B" w:rsidRPr="004F543B" w:rsidRDefault="004F543B" w:rsidP="004F543B">
      <w:pPr>
        <w:spacing w:after="0" w:line="240" w:lineRule="auto"/>
        <w:ind w:left="993" w:hanging="426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7.3. Dostęp do portalu służącego do zarządzania licencją. Liczba i rodzaj licencji oraz okres obowiązywania mają być widoczne na koncie Zamawiającego w portalu do zarządzania licencjami.</w:t>
      </w:r>
    </w:p>
    <w:p w14:paraId="36E0954A" w14:textId="77777777" w:rsidR="004F543B" w:rsidRPr="004F543B" w:rsidRDefault="004F543B" w:rsidP="004F543B">
      <w:pPr>
        <w:spacing w:after="0" w:line="240" w:lineRule="auto"/>
        <w:ind w:left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7.4   Wsparcia technicznego producenta lub dystrybutora oprogramowania.</w:t>
      </w:r>
    </w:p>
    <w:p w14:paraId="60CC0D13" w14:textId="77777777" w:rsidR="004F543B" w:rsidRPr="004F543B" w:rsidRDefault="004F543B" w:rsidP="004F543B">
      <w:pPr>
        <w:spacing w:after="0" w:line="240" w:lineRule="auto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0F1E7FE6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8. 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Parametry i funkcjonalności dostarczonego oprogramowania, nie mogą być gorsze niż wskazane poniżej:</w:t>
      </w:r>
    </w:p>
    <w:p w14:paraId="201D66E9" w14:textId="77777777" w:rsidR="004F543B" w:rsidRPr="004F543B" w:rsidRDefault="004F543B" w:rsidP="004F543B">
      <w:pPr>
        <w:spacing w:after="0" w:line="240" w:lineRule="auto"/>
        <w:ind w:left="993" w:hanging="426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8.1.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Konfiguracja, nadzór nad pracą poszczególnych modułów oraz instalacja/deinstalacja musi być wykonywana z Centralnej konsoli zarządzającej (Zamawiający posiada już konsolę do zarządzania dla oprogramowania ESET PROTECT Enterprise ON-PREM).</w:t>
      </w:r>
    </w:p>
    <w:p w14:paraId="2301AFA5" w14:textId="77777777" w:rsidR="004F543B" w:rsidRPr="004F543B" w:rsidRDefault="004F543B" w:rsidP="004F543B">
      <w:pPr>
        <w:spacing w:after="0" w:line="240" w:lineRule="auto"/>
        <w:ind w:left="993" w:hanging="426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8.2.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Wsparcie techniczne świadczone w ramach gwarancji musi odbywać się w języku polskim przez cały czas trwania umowy w trybie zgłoszeniowym w Dni Robocze (tj. od poniedziałku do piątku z wyłączeniem sobót, świąt i dni wolnych od pracy) na adres e-mail ……………………………………. w godzinach od 8.00 do 16.00.</w:t>
      </w:r>
    </w:p>
    <w:p w14:paraId="12BC0CDC" w14:textId="77777777" w:rsidR="004F543B" w:rsidRPr="004F543B" w:rsidRDefault="004F543B" w:rsidP="004F543B">
      <w:pPr>
        <w:spacing w:after="0" w:line="240" w:lineRule="auto"/>
        <w:ind w:left="993" w:hanging="426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8.3.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 xml:space="preserve">Zamawiający wymaga Naprawy zgłoszonego problemu dotyczącego eksploatacji oprogramowania </w:t>
      </w:r>
      <w:r w:rsidRPr="004F543B">
        <w:rPr>
          <w:rFonts w:ascii="Verdana" w:eastAsiaTheme="minorHAnsi" w:hAnsi="Verdana" w:cstheme="minorBidi"/>
          <w:sz w:val="16"/>
          <w:szCs w:val="16"/>
        </w:rPr>
        <w:br/>
        <w:t>w ciągu 3 Dni Roboczych. Jako Naprawę problemu rozumie się usunięcie przyczyny źródłowej zgłoszonego problemu oraz przywrócenie pełnej funkcjonalności Oprogramowania zgodnej z OPZ.</w:t>
      </w:r>
    </w:p>
    <w:p w14:paraId="53460513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403D89BC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>A.    Moduł ochrony antywirusowej:</w:t>
      </w:r>
    </w:p>
    <w:p w14:paraId="13D9D75A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wspierać systemy operacyjne wykorzystywane przez Zamawiającego: Microsoft Windows (10/11), Microsoft Windows Server (2008 R2 lub wyższy), Linux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Debian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RedHat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CentOS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i MAC OS (10.13 lub wyższy).</w:t>
      </w:r>
    </w:p>
    <w:p w14:paraId="27275A4F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Rozwiązanie musi wspierać architekturę ARM64.</w:t>
      </w:r>
    </w:p>
    <w:p w14:paraId="2BC04E89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ochrony stacji roboczych musi posiadać polskojęzyczny interfejs. </w:t>
      </w:r>
    </w:p>
    <w:p w14:paraId="0B919C57" w14:textId="77777777" w:rsidR="004F543B" w:rsidRPr="004F543B" w:rsidRDefault="004F543B" w:rsidP="004F543B">
      <w:pPr>
        <w:numPr>
          <w:ilvl w:val="0"/>
          <w:numId w:val="12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Dla stacji roboczych i serwerów rozwiązanie musi zapewniać: ochronę dostępu do sieci (firewall).  </w:t>
      </w:r>
    </w:p>
    <w:p w14:paraId="6C275C6A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wykrywanie i usuwanie niebezpiecznych aplikacji typu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adware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spyware, dialer,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phishing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narzędzi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hakerskich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backdoor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. </w:t>
      </w:r>
    </w:p>
    <w:p w14:paraId="3D115228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wbudowaną technologię do ochrony przed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rootkitami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oraz podłączeniem komputera do sieci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botnet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. </w:t>
      </w:r>
    </w:p>
    <w:p w14:paraId="5C89A7EA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wykrywanie potencjalnie niepożądanych, niebezpiecznych oraz podejrzanych aplikacji. </w:t>
      </w:r>
    </w:p>
    <w:p w14:paraId="27FB9E9E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w czasie rzeczywistym otwieranych, zapisywanych i wykonywanych plików. </w:t>
      </w:r>
    </w:p>
    <w:p w14:paraId="7B00C85F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całego dysku, wybranych katalogów lub pojedynczych plików "na żądanie" lub według harmonogramu. </w:t>
      </w:r>
    </w:p>
    <w:p w14:paraId="6813CE75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plików spakowanych i skompresowanych oraz dysków sieciowych i dysków przenośnych. </w:t>
      </w:r>
    </w:p>
    <w:p w14:paraId="5AE458B6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opcję umieszczenia na liście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wykluczeń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ze skanowania wybranych plików, katalogów lub plików na podstawie rozszerzenia, nazwy, sumy kontrolnej (SHA1) oraz lokalizacji pliku. </w:t>
      </w:r>
    </w:p>
    <w:p w14:paraId="052C21C7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integrować się z Intel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Threat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Detection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Technology. </w:t>
      </w:r>
    </w:p>
    <w:p w14:paraId="091872BD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i oczyszczanie poczty przychodzącej POP3 i IMAP „w locie” (w czasie rzeczywistym), zanim zostanie dostarczona do klienta pocztowego, zainstalowanego na stacji roboczej (niezależnie od konkretnego klienta pocztowego). </w:t>
      </w:r>
    </w:p>
    <w:p w14:paraId="09F66CEB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ruchu sieciowego wewnątrz szyfrowanych protokołów HTTPS, POP3S, IMAPS. </w:t>
      </w:r>
    </w:p>
    <w:p w14:paraId="4DBD25F2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lastRenderedPageBreak/>
        <w:t xml:space="preserve">Rozwiązanie musi posiadać wbudowane dwa niezależne moduły heurystyczne – jeden wykorzystujący pasywne metody heurystyczne i drugi wykorzystujący aktywne metody heurystyczne oraz elementy sztucznej inteligencji. Musi istnieć możliwość wyboru, z jaką heurystyka ma odbywać się skanowanie – z użyciem jednej lub obu metod jednocześnie. </w:t>
      </w:r>
    </w:p>
    <w:p w14:paraId="6C65A60E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blokowanie zewnętrznych nośników danych na stacji w tym przynajmniej: Pamięci masowych, optycznych pamięci masowych, pamięci masowych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Firewire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urządzeń do tworzenia obrazów, drukarek USB, urządzeń Bluetooth, czytników kart inteligentnych, modemów, portów LPT/COM oraz urządzeń przenośnych. </w:t>
      </w:r>
    </w:p>
    <w:p w14:paraId="12A04B91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funkcję blokowania nośników wymiennych, bądź grup urządzeń ma umożliwiać użytkownikowi tworzenie reguł dla podłączanych urządzeń minimum w oparciu o typ, numer seryjny, dostawcę lub model urządzenia. </w:t>
      </w:r>
    </w:p>
    <w:p w14:paraId="2A7FC37B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HIPS musi posiadać możliwość pracy w jednym z pięciu trybów: </w:t>
      </w:r>
    </w:p>
    <w:p w14:paraId="027B1C4E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automatyczny z regułami, gdzie program automatycznie tworzy i wykorzystuje reguły wraz z możliwością wykorzystania reguł utworzonych przez użytkownika, </w:t>
      </w:r>
    </w:p>
    <w:p w14:paraId="47F98EEA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interaktywny, w którym to rozwiązanie pyta użytkownika o akcję w przypadku wykrycia aktywności w systemie, </w:t>
      </w:r>
    </w:p>
    <w:p w14:paraId="4BEC71CA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oparty na regułach, gdzie zastosowanie mają jedynie reguły utworzone przez użytkownika, </w:t>
      </w:r>
    </w:p>
    <w:p w14:paraId="48D62780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uczenia się, w którym rozwiązanie uczy się aktywności systemu i użytkownika oraz tworzy odpowiednie reguły w czasie określonym przez użytkownika. Po wygaśnięciu tego czasu program musi samoczynnie przełączyć się w tryb pracy oparty na regułach, </w:t>
      </w:r>
    </w:p>
    <w:p w14:paraId="5AB64086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tryb inteligentny, w którym rozwiązanie będzie powiadamiało wyłącznie o szczególnie podejrzanych zdarzeniach.</w:t>
      </w:r>
    </w:p>
    <w:p w14:paraId="1CD64B85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i sprzęcie, aktywnych procesów i połączeń sieciowych, harmonogramu systemu operacyjnego, pliku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hosts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sterowników. </w:t>
      </w:r>
    </w:p>
    <w:p w14:paraId="641BE3F0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Funkcja, generująca taki log, ma posiadać przynajmniej 9 poziomów filtrowania wyników pod kątem tego, które z nich są podejrzane dla rozwiązania i mogą stanowić zagrożenie bezpieczeństwa. </w:t>
      </w:r>
    </w:p>
    <w:p w14:paraId="1D0457FD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automatyczną, inkrementacyjną aktualizację silnika detekcji. </w:t>
      </w:r>
    </w:p>
    <w:p w14:paraId="4AB04AAB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tylko jeden proces uruchamiany w pamięci, z którego korzystają wszystkie funkcje systemu (antywirus,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antyspyware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metody heurystyczne). </w:t>
      </w:r>
    </w:p>
    <w:p w14:paraId="682D6014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funkcjonalność skanera UEFI, który chroni użytkownika poprzez wykrywanie i blokowanie zagrożeń, atakujących jeszcze przed uruchomieniem systemu operacyjnego. </w:t>
      </w:r>
    </w:p>
    <w:p w14:paraId="2FCBD6ED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ochronę antyspamową dla programu pocztowego Microsoft Outlook. </w:t>
      </w:r>
    </w:p>
    <w:p w14:paraId="3A011F02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Zapora osobista rozwiązania musi pracować w jednym z czterech trybów: </w:t>
      </w:r>
    </w:p>
    <w:p w14:paraId="580F728E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automatyczny – rozwiązanie blokuje cały ruch przychodzący i zezwala tylko na połączenia wychodzące, </w:t>
      </w:r>
    </w:p>
    <w:p w14:paraId="63AAA1D4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interaktywny – rozwiązanie pyta się o każde nowo nawiązywane połączenie, </w:t>
      </w:r>
    </w:p>
    <w:p w14:paraId="240F1F9A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oparty na regułach – rozwiązanie blokuje cały ruch przychodzący i wychodzący, zezwalając tylko na połączenia skonfigurowane przez administratora, </w:t>
      </w:r>
    </w:p>
    <w:p w14:paraId="733C2BC3" w14:textId="77777777" w:rsidR="004F543B" w:rsidRPr="004F543B" w:rsidRDefault="004F543B" w:rsidP="004F543B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tryb uczenia się – rozwiązanie automatycznie tworzy nowe reguły zezwalające na połączenia przychodzące i wychodzące. Administrator musi posiadać możliwość konfigurowania czasu działania trybu. </w:t>
      </w:r>
    </w:p>
    <w:p w14:paraId="6667C95B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być wyposażona w moduł bezpiecznej przeglądarki. </w:t>
      </w:r>
    </w:p>
    <w:p w14:paraId="36A48917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Przeglądarka musi automatycznie szyfrować wszelkie dane wprowadzane przez Użytkownika. </w:t>
      </w:r>
    </w:p>
    <w:p w14:paraId="612C19CF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Praca w bezpiecznej przeglądarce musi być wyróżniona poprzez odpowiedni kolor ramki przeglądarki oraz informację na ramce przeglądarki. </w:t>
      </w:r>
    </w:p>
    <w:p w14:paraId="73E70DF6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być wyposażone w zintegrowany moduł kontroli dostępu do stron internetowych. </w:t>
      </w:r>
    </w:p>
    <w:p w14:paraId="020F8890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możliwość filtrowania adresów URL w oparciu o co najmniej 140 kategorii i podkategorii. </w:t>
      </w:r>
    </w:p>
    <w:p w14:paraId="28F6A8E6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ochronę przed zagrożeniami 0-day. </w:t>
      </w:r>
    </w:p>
    <w:p w14:paraId="19BA35F5" w14:textId="77777777" w:rsidR="004F543B" w:rsidRPr="004F543B" w:rsidRDefault="004F543B" w:rsidP="004F543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</w:r>
    </w:p>
    <w:p w14:paraId="17B4BD8A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0BD82031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7D57AF18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426" w:hanging="567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>B.</w:t>
      </w: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ab/>
        <w:t xml:space="preserve">Ochrona serwera: </w:t>
      </w:r>
    </w:p>
    <w:p w14:paraId="27E52DDF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wspierać systemy Microsoft Windows Server oraz Linux w tym co najmniej: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RedHat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Enterprise Linux (RHEL),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Rocky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Linux,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Ubuntu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Debian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SUSE Linux Enterprise Server (SLES), Oracle Linux oraz Amazon Linux. </w:t>
      </w:r>
    </w:p>
    <w:p w14:paraId="1E1D8B1F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ochronę przed wirusami, trojanami, robakami i innymi zagrożeniami. </w:t>
      </w:r>
    </w:p>
    <w:p w14:paraId="6E6EE632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wykrywanie i usuwanie niebezpiecznych aplikacji typu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adware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spyware, dialer,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phishing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narzędzi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hakerskich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backdoor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. </w:t>
      </w:r>
    </w:p>
    <w:p w14:paraId="2F820660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możliwość skanowania dysków sieciowych typu NAS. </w:t>
      </w:r>
    </w:p>
    <w:p w14:paraId="2A3B4E3E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 użyciem jednej lub obu metod jednocześnie. </w:t>
      </w:r>
    </w:p>
    <w:p w14:paraId="4035714C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wspierać automatyczną, inkrementacyjną aktualizację silnika detekcji. </w:t>
      </w:r>
    </w:p>
    <w:p w14:paraId="5D48431B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możliwość wykluczania ze skanowania procesów. </w:t>
      </w:r>
    </w:p>
    <w:p w14:paraId="38433C20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Rozwiązanie musi posiadać możliwość określenia typu podejrzanych plików, jakie będą przesyłane do producenta, w tym co najmniej pliki wykonywalne, archiwa, skrypty, dokumenty.</w:t>
      </w:r>
    </w:p>
    <w:p w14:paraId="06665EE3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lastRenderedPageBreak/>
        <w:t xml:space="preserve">Dodatkowe wymagania dla ochrony serwerów Windows: </w:t>
      </w:r>
    </w:p>
    <w:p w14:paraId="2052D3FA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Rozwiązanie musi posiadać możliwość skanowania plików i folderów, znajdujących się w usłudze   chmurowej OneDrive. </w:t>
      </w:r>
    </w:p>
    <w:p w14:paraId="249AE96D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system zapobiegania włamaniom działający na hoście (HIPS). </w:t>
      </w:r>
    </w:p>
    <w:p w14:paraId="65F9B8A3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wspierać skanowanie magazynu Hyper-V. </w:t>
      </w:r>
    </w:p>
    <w:p w14:paraId="382D2E57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funkcjonalność skanera UEFI, który chroni użytkownika poprzez wykrywanie i blokowanie zagrożeń, atakujących jeszcze przed uruchomieniem systemu operacyjnego. </w:t>
      </w:r>
    </w:p>
    <w:p w14:paraId="38579360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administratorowi blokowanie zewnętrznych nośników danych na stacji w tym przynajmniej: Pamięci masowych, optycznych pamięci masowych, pamięci masowych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Firewire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urządzeń do tworzenia obrazów, drukarek USB, urządzeń Bluetooth, czytników kart inteligentnych, modemów, portów LPT/COM oraz urządzeń przenośnych. </w:t>
      </w:r>
    </w:p>
    <w:p w14:paraId="12BDA690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automatyczne wykrywać usługi zainstalowane na serwerze i tworzyć dla nich odpowiednie wyjątki. </w:t>
      </w:r>
    </w:p>
    <w:p w14:paraId="10ABB03E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Rozwiązanie musi posiadać wbudowany system IDS z detekcją prób ataków, anomalii w pracy sieci oraz wykrywaniem aktywności wirusów sieciowych</w:t>
      </w:r>
      <w:r w:rsidRPr="004F543B">
        <w:rPr>
          <w:rFonts w:ascii="Verdana" w:eastAsiaTheme="minorHAnsi" w:hAnsi="Verdana" w:cs="Calibri"/>
          <w:i/>
          <w:iCs/>
          <w:color w:val="000000"/>
          <w:kern w:val="0"/>
          <w:sz w:val="16"/>
          <w:szCs w:val="16"/>
        </w:rPr>
        <w:t xml:space="preserve">. </w:t>
      </w:r>
    </w:p>
    <w:p w14:paraId="2594EA68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możliwość dodawania wyjątków dla systemu IDS, co najmniej w oparciu o występujący alert, kierunek, aplikacje, czynność oraz adres IP. </w:t>
      </w:r>
    </w:p>
    <w:p w14:paraId="5CF14DE1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posiadać ochronę przed oprogramowaniem wymuszającym okup za pomocą dedykowanego modułu. </w:t>
      </w:r>
    </w:p>
    <w:p w14:paraId="30459020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</w:p>
    <w:p w14:paraId="77B6D7DD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 xml:space="preserve">Dodatkowe wymagania dla ochrony serwerów Linux: </w:t>
      </w:r>
    </w:p>
    <w:p w14:paraId="3C843AFD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pozwalać, na uruchomienie lokalnej konsoli administracyjnej, działającej z poziomu przeglądarki internetowej. </w:t>
      </w:r>
    </w:p>
    <w:p w14:paraId="37D7BF92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Lokalna konsola administracyjna nie może wymagać do swojej pracy, uruchomienia i instalacji dodatkowego rozwiązania w postaci usługi serwera Web. </w:t>
      </w:r>
    </w:p>
    <w:p w14:paraId="6ADD1EB3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skanowanie plików na macierzach NAS / SAN. </w:t>
      </w:r>
    </w:p>
    <w:p w14:paraId="3FEFB0FD" w14:textId="77777777" w:rsidR="004F543B" w:rsidRPr="004F543B" w:rsidRDefault="004F543B" w:rsidP="004F54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 </w:t>
      </w:r>
    </w:p>
    <w:p w14:paraId="6965AC67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7C93EB18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 xml:space="preserve">C. </w:t>
      </w:r>
      <w:proofErr w:type="spellStart"/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>Sandbox</w:t>
      </w:r>
      <w:proofErr w:type="spellEnd"/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 xml:space="preserve"> w chmurze:</w:t>
      </w:r>
    </w:p>
    <w:p w14:paraId="51AEE557" w14:textId="77777777" w:rsidR="004F543B" w:rsidRPr="004F543B" w:rsidRDefault="004F543B" w:rsidP="004F543B">
      <w:pPr>
        <w:numPr>
          <w:ilvl w:val="0"/>
          <w:numId w:val="14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zapewniać ochronę przed zagrożeniami 0-day. </w:t>
      </w:r>
    </w:p>
    <w:p w14:paraId="3DA10A8E" w14:textId="77777777" w:rsidR="004F543B" w:rsidRPr="004F543B" w:rsidRDefault="004F543B" w:rsidP="004F543B">
      <w:pPr>
        <w:numPr>
          <w:ilvl w:val="0"/>
          <w:numId w:val="14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wykorzystywać do działania chmurę producenta. </w:t>
      </w:r>
    </w:p>
    <w:p w14:paraId="661EBC28" w14:textId="77777777" w:rsidR="004F543B" w:rsidRPr="004F543B" w:rsidRDefault="004F543B" w:rsidP="004F543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Rozwiązanie musi posiadać możliwość określenia jakie pliki mają zostać przesłane do chmury automatycznie, w tym archiwa, skrypty, pliki wykonywalne, możliwy spam, dokumenty oraz inne pliki typu .jar, .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reg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, .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msi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. </w:t>
      </w:r>
    </w:p>
    <w:p w14:paraId="44252AD0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Administrator musi mieć możliwość zdefiniowania po jakim czasie przesłane pliki muszą zostać usunięte z serwerów producenta. </w:t>
      </w:r>
    </w:p>
    <w:p w14:paraId="60E8570F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Administrator musi mieć możliwość zdefiniowania maksymalnego rozmiaru przesyłanych próbek. </w:t>
      </w:r>
    </w:p>
    <w:p w14:paraId="4C60D10F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pozwalać na utworzenie listy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wykluczeń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określonych plików lub folderów z przesyłania. </w:t>
      </w:r>
    </w:p>
    <w:p w14:paraId="39411AE5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Po zakończonej analizie pliku, rozwiązanie musi przesyłać wynik analizy do wszystkich wspieranych produktów. </w:t>
      </w:r>
    </w:p>
    <w:p w14:paraId="11B192FE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Administrator musi mieć możliwość podejrzenia listy plików, które zostały przesłane do analizy. </w:t>
      </w:r>
    </w:p>
    <w:p w14:paraId="6460DEE8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musi pozwalać na analizowanie plików, bez względu na lokalizacje stacji roboczej. W przypadku wykrycia zagrożenia, całe środowisko jest bezzwłocznie chronione. </w:t>
      </w:r>
    </w:p>
    <w:p w14:paraId="735452CE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nie może wymagać instalacji dodatkowego agenta na stacjach roboczych. </w:t>
      </w:r>
    </w:p>
    <w:p w14:paraId="04F99197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Rozwiązanie pozwala na wysłanie dowolnej próbki do analizy przez użytkownika lub administratora, za pomocą wspieranego produktu. Administrator musi móc podejrzeć jakie pliki zostały wysłane do analizy oraz przez kogo. </w:t>
      </w:r>
    </w:p>
    <w:p w14:paraId="7552FEEE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Przeanalizowane pliki muszą zostać odpowiednio oznaczone. Analiza pliku może zakończyć się z wynikiem: </w:t>
      </w:r>
    </w:p>
    <w:p w14:paraId="0C0AEFB1" w14:textId="77777777" w:rsidR="004F543B" w:rsidRPr="004F543B" w:rsidRDefault="004F543B" w:rsidP="004F543B">
      <w:pPr>
        <w:numPr>
          <w:ilvl w:val="1"/>
          <w:numId w:val="15"/>
        </w:numPr>
        <w:autoSpaceDE w:val="0"/>
        <w:autoSpaceDN w:val="0"/>
        <w:adjustRightInd w:val="0"/>
        <w:spacing w:after="22" w:line="240" w:lineRule="auto"/>
        <w:ind w:left="993" w:hanging="283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Czysty, </w:t>
      </w:r>
    </w:p>
    <w:p w14:paraId="1A9A1D43" w14:textId="77777777" w:rsidR="004F543B" w:rsidRPr="004F543B" w:rsidRDefault="004F543B" w:rsidP="004F543B">
      <w:pPr>
        <w:numPr>
          <w:ilvl w:val="1"/>
          <w:numId w:val="15"/>
        </w:numPr>
        <w:autoSpaceDE w:val="0"/>
        <w:autoSpaceDN w:val="0"/>
        <w:adjustRightInd w:val="0"/>
        <w:spacing w:after="22" w:line="240" w:lineRule="auto"/>
        <w:ind w:left="993" w:hanging="283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Podejrzany, </w:t>
      </w:r>
    </w:p>
    <w:p w14:paraId="25616384" w14:textId="77777777" w:rsidR="004F543B" w:rsidRPr="004F543B" w:rsidRDefault="004F543B" w:rsidP="004F543B">
      <w:pPr>
        <w:numPr>
          <w:ilvl w:val="1"/>
          <w:numId w:val="15"/>
        </w:numPr>
        <w:autoSpaceDE w:val="0"/>
        <w:autoSpaceDN w:val="0"/>
        <w:adjustRightInd w:val="0"/>
        <w:spacing w:after="22" w:line="240" w:lineRule="auto"/>
        <w:ind w:left="993" w:hanging="283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Bardzo podejrzany, </w:t>
      </w:r>
    </w:p>
    <w:p w14:paraId="24338011" w14:textId="77777777" w:rsidR="004F543B" w:rsidRPr="004F543B" w:rsidRDefault="004F543B" w:rsidP="004F543B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Szkodliwy. </w:t>
      </w:r>
    </w:p>
    <w:p w14:paraId="66C4E018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</w:r>
    </w:p>
    <w:p w14:paraId="29D5E358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22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W przypadku serwerów pocztowych rozwiązanie musi posiadać możliwość wstrzymania dostarczania wiadomości do momentu zakończenia analizy próbki. </w:t>
      </w:r>
    </w:p>
    <w:p w14:paraId="0D7F6CA8" w14:textId="77777777" w:rsidR="004F543B" w:rsidRPr="004F543B" w:rsidRDefault="004F543B" w:rsidP="004F543B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Wykryte zagrożenia muszą być przeniesione w bezpieczny obszar kwarantanny, z której administrator może przywrócić dowolne pliki oraz utworzyć dla niej wyłączenia. </w:t>
      </w:r>
    </w:p>
    <w:p w14:paraId="6C7819A8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567D3DD0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1134" w:hanging="1135"/>
        <w:jc w:val="both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>D. Moduł XDR:</w:t>
      </w:r>
    </w:p>
    <w:p w14:paraId="1DB9311A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Dostęp do konsoli centralnego zarządzania musi odbywać się z poziomu interfejsu WWW. </w:t>
      </w:r>
    </w:p>
    <w:p w14:paraId="649D726F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2)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Serwer administracyjny musi posiadać możliwość wysyłania zdarzeń do konsoli administracyjnej tego samego producenta. </w:t>
      </w:r>
    </w:p>
    <w:p w14:paraId="073BEAD0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3)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Interfejs musi być zabezpieczony za pośrednictwem protokołu SSL. </w:t>
      </w:r>
    </w:p>
    <w:p w14:paraId="20ABE2EA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4)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Serwer administracyjny musi posiadać możliwość wprowadzania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wykluczeń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po których nie zostanie wyzwolony alarm bezpieczeństwa. </w:t>
      </w:r>
    </w:p>
    <w:p w14:paraId="7D2CEB11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5)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Wykluczenia muszą dotyczyć procesu lub procesu „rodzica”. </w:t>
      </w:r>
    </w:p>
    <w:p w14:paraId="3F42F6FE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lastRenderedPageBreak/>
        <w:t>6)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Utworzenie wykluczenia musi automatycznie rozwiązywać alarmy, które pasują do utworzonego wykluczenia. </w:t>
      </w:r>
    </w:p>
    <w:p w14:paraId="070A4605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7)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Kryteria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wykluczeń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muszą być konfigurowane w oparciu o przynajmniej: nazwę procesu, ścieżkę procesu, wiersz polecenia, wydawcę, typ podpisu, SHA-1, nazwę komputera, grupę, użytkownika. </w:t>
      </w:r>
    </w:p>
    <w:p w14:paraId="302CD5D4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8)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Serwer musi posiadać ponad 900 wbudowanych reguł, po których wystąpieniu, nastąpi wyzwolenie alarmu bezpieczeństwa. Administrator musi też posiadać możliwość utworzenia własnych reguł i edycji reguł dodanych przez producenta. </w:t>
      </w:r>
    </w:p>
    <w:p w14:paraId="4313FFB4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9)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Serwer administracyjny musi oferować możliwość blokowania plików po sumach kontrolnych. W ramach blokady musi istnieć możliwość dodania komentarza oraz konfiguracji wykonywanej czynności, po wykryciu wprowadzonej sumy kontrolnej. </w:t>
      </w:r>
    </w:p>
    <w:p w14:paraId="7145867D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10)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 </w:t>
      </w:r>
    </w:p>
    <w:p w14:paraId="13454B0B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11)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Administrator, w ramach plików wykonywalnych oraz plików DLL, musi posiadać możliwość ich oznaczenia jako bezpieczne, pobrania do analizy oraz ich zablokowania. </w:t>
      </w:r>
    </w:p>
    <w:p w14:paraId="645CB28C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12)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Administrator musi posiadać możliwość weryfikacji uruchomionych skryptów na stacjach roboczych, wraz z informacją dotyczącą parametrów uruchomienia. Administrator musi posiadać możliwość oznaczenia skryptu jako bezpieczny lub niebezpieczny. </w:t>
      </w:r>
    </w:p>
    <w:p w14:paraId="533A7E9F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13)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W ramach przeglądania wykonanego skryptu, administrator musi posiadać możliwość szczegółowego podglądu wykonanych przez skrypt czynności w formie tekstowej. </w:t>
      </w:r>
    </w:p>
    <w:p w14:paraId="06188AD5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14)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W ramach przeglądania wykonanego skryptu lub pliku exe, administrator musi posiadać możliwość weryfikacji powiązanych zdarzeń dotyczących przynajmniej: modyfikacji plików i rejestru, zestawionych połączeń sieciowych i utworzonych plików wykonywalnych. </w:t>
      </w:r>
    </w:p>
    <w:p w14:paraId="7692C486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15)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Serwer administracyjny musi oferować możliwość przekierowania do konsoli zarządzającej produktu antywirusowego tego samego producenta, w celu weryfikacji szczegółów wybranej stacji roboczej. W konsoli zarządzającej produktu 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peryferyjne, urządzenia audio, drukarki, karty sieciowe, urządzenia masowe) oraz wylistowanie zainstalowanego oprogramowania firm trzecich.  </w:t>
      </w:r>
    </w:p>
    <w:p w14:paraId="778A3CE4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16)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Konsola administracyjna musi mieć możliwość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tagowania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obiektów. </w:t>
      </w:r>
    </w:p>
    <w:p w14:paraId="0D4EEC8B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17)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ab/>
        <w:t xml:space="preserve">Konsola administracyjna musi umożliwiać połączenie się do stacji roboczej z możliwością wykonywania poleceń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powershell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.</w:t>
      </w:r>
    </w:p>
    <w:p w14:paraId="27D551C3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425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3DAE6155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-142"/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b/>
          <w:color w:val="000000"/>
          <w:kern w:val="0"/>
          <w:sz w:val="16"/>
          <w:szCs w:val="16"/>
        </w:rPr>
        <w:t xml:space="preserve">E. </w:t>
      </w:r>
      <w:r w:rsidRPr="004F543B">
        <w:rPr>
          <w:rFonts w:ascii="Verdana" w:eastAsiaTheme="minorHAnsi" w:hAnsi="Verdana" w:cs="Calibri"/>
          <w:b/>
          <w:bCs/>
          <w:color w:val="000000"/>
          <w:kern w:val="0"/>
          <w:sz w:val="16"/>
          <w:szCs w:val="16"/>
        </w:rPr>
        <w:t>Szyfrowanie:</w:t>
      </w:r>
    </w:p>
    <w:p w14:paraId="65D8DC42" w14:textId="77777777" w:rsidR="004F543B" w:rsidRPr="004F543B" w:rsidRDefault="004F543B" w:rsidP="004F543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System szyfrowania danych musi wspierać instalację aplikacji klienckiej w środowisku Microsoft Windows 10 i Microsoft Windows 11. </w:t>
      </w:r>
    </w:p>
    <w:p w14:paraId="4B86BCC6" w14:textId="77777777" w:rsidR="004F543B" w:rsidRPr="004F543B" w:rsidRDefault="004F543B" w:rsidP="004F543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System szyfrowania musi wspierać zarządzanie natywnym szyfrowaniem w systemach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macOS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(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FileVault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). </w:t>
      </w:r>
    </w:p>
    <w:p w14:paraId="0B04C7E2" w14:textId="77777777" w:rsidR="004F543B" w:rsidRPr="004F543B" w:rsidRDefault="004F543B" w:rsidP="004F543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Aplikacja musi posiadać autentykacje typu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Pre-boot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czyli uwierzytelnienie użytkownika zanim zostanie uruchomiony system operacyjny. Musi istnieć także możliwość całkowitego lub czasowego wyłączenia tego uwierzytelnienia. </w:t>
      </w:r>
    </w:p>
    <w:p w14:paraId="5174D54F" w14:textId="77777777" w:rsidR="004F543B" w:rsidRPr="004F543B" w:rsidRDefault="004F543B" w:rsidP="004F543B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Aplikacja musi umożliwiać szyfrowanie danych tylko na komputerach z UEFI. </w:t>
      </w:r>
    </w:p>
    <w:p w14:paraId="0A2817FC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3F2CE1AF" w14:textId="77777777" w:rsidR="004F543B" w:rsidRPr="004F543B" w:rsidRDefault="004F543B" w:rsidP="004F543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</w:p>
    <w:p w14:paraId="37DAC6D3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b/>
          <w:bCs/>
          <w:iCs/>
          <w:sz w:val="16"/>
          <w:szCs w:val="16"/>
        </w:rPr>
      </w:pPr>
      <w:r w:rsidRPr="004F543B">
        <w:rPr>
          <w:rFonts w:ascii="Verdana" w:eastAsiaTheme="minorHAnsi" w:hAnsi="Verdana" w:cstheme="minorBidi"/>
          <w:b/>
          <w:bCs/>
          <w:iCs/>
          <w:sz w:val="16"/>
          <w:szCs w:val="16"/>
        </w:rPr>
        <w:t>F. Centralna konsola zarządzająca:</w:t>
      </w:r>
    </w:p>
    <w:p w14:paraId="5F0A54BB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Konfiguracja, nadzór nad pracą poszczególnych modułów musi być wykonywana z centralnej konsoli zarządzającej. Zamawiający posiada już centralną konsolę zarządzającą.</w:t>
      </w:r>
    </w:p>
    <w:p w14:paraId="2A618019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Rozwiązanie musi zapewniać dostęp do konsoli centralnego zarządzania w języku polskim z poziomu interfejsu WWW zabezpieczony za pośrednictwem protokołu SSL.</w:t>
      </w:r>
    </w:p>
    <w:p w14:paraId="797C03B7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Rozwiązanie musi zapewniać pobranie wszystkich wymaganych elementów serwera centralnej administracji w postaci jednego pakietu instalacyjnego i każdego z modułów oddzielnie bezpośrednio ze strony producenta.</w:t>
      </w:r>
    </w:p>
    <w:p w14:paraId="25A76C02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Rozwiązanie musi zapewniać zabezpieczoną komunikację pomiędzy poszczególnymi modułami serwera za pomocą certyfikatów.</w:t>
      </w:r>
    </w:p>
    <w:p w14:paraId="22E74B31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Rozwiązanie musi zapewniać utworzenia własnego CA (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Certification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Authority) oraz dowolnej liczby certyfikatów z podziałem na typ elementu: agent, serwer zarządzający, serwer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proxy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>, moduł zarządzania urządzeniami mobilnymi.</w:t>
      </w:r>
    </w:p>
    <w:p w14:paraId="1E3C4EB3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Rozwiązanie musi zapewniać instalację z użyciem nowego lub istniejącego serwera bazy danych MS SQL i MySQL.</w:t>
      </w:r>
    </w:p>
    <w:p w14:paraId="0AA3EFD7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Rozwiązanie musi zapewniać centralną konfigurację i zarządzanie przynajmniej takimi modułami jak: ochrona antywirusowa,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antyspyware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>, które działają na stacjach roboczych w sieci.</w:t>
      </w:r>
    </w:p>
    <w:p w14:paraId="4E34B12B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Moduł musi zapewnić centralną instalację programów służących do ochrony stacji roboczych Windows oraz Linux. </w:t>
      </w:r>
    </w:p>
    <w:p w14:paraId="567DA2F3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Moduł musi zapewnić centralne zarządzanie wszystkimi programami służącymi do ochrony: stacji roboczych, serwerów plików, serwerów pocztowych, serwerów portalu wielofunkcyjnego, aplikacji mobilnych.</w:t>
      </w:r>
    </w:p>
    <w:p w14:paraId="2CE1266F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Moduł musi posiadać centralną bazę przechowującą informacje o konfiguracji stacji i urządzeń końcowych.</w:t>
      </w:r>
    </w:p>
    <w:p w14:paraId="548C4837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Moduł musi posiadać centralną bazę przechowującą informacje o zdarzeniach i wykrytych zagrożeniach.</w:t>
      </w:r>
    </w:p>
    <w:p w14:paraId="24BB424B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Centralna konsola zarządzająca musi umożliwić zdalną instalację produktów na komputerach </w:t>
      </w:r>
      <w:r w:rsidRPr="004F543B">
        <w:rPr>
          <w:rFonts w:ascii="Verdana" w:eastAsiaTheme="minorHAnsi" w:hAnsi="Verdana" w:cstheme="minorBidi"/>
          <w:sz w:val="16"/>
          <w:szCs w:val="16"/>
        </w:rPr>
        <w:br/>
        <w:t xml:space="preserve">z domeny Microsoft Active Directory objętych ochroną, bez konieczności stosowania dodatkowych narzędzi </w:t>
      </w:r>
      <w:r w:rsidRPr="004F543B">
        <w:rPr>
          <w:rFonts w:ascii="Verdana" w:eastAsiaTheme="minorHAnsi" w:hAnsi="Verdana" w:cstheme="minorBidi"/>
          <w:sz w:val="16"/>
          <w:szCs w:val="16"/>
        </w:rPr>
        <w:lastRenderedPageBreak/>
        <w:t>i oprogramowania, z możliwością zaplanowania z wyprzedzeniem momentu wykonania instalacji dla poszczególnych komputerów i grup komputerów.</w:t>
      </w:r>
    </w:p>
    <w:p w14:paraId="3EEB08B2" w14:textId="77777777" w:rsidR="004F543B" w:rsidRPr="004F543B" w:rsidRDefault="004F543B" w:rsidP="004F543B">
      <w:pPr>
        <w:numPr>
          <w:ilvl w:val="0"/>
          <w:numId w:val="17"/>
        </w:numPr>
        <w:spacing w:after="0" w:line="240" w:lineRule="auto"/>
        <w:ind w:left="567" w:hanging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Oferowane rozwiązania musi umożliwiać selektywne wskazanie, który z produktów ochronnych wchodzących w skład systemu zostanie wdrożony na którym z komputerów – nie jest dopuszczalne wdrożenie pakietu w postaci jednej paczki instalacyjnej obejmującej kilka produktów na raz.</w:t>
      </w:r>
    </w:p>
    <w:p w14:paraId="59B95926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definiowania komputerów, które mają być objęte wdrożeniem poszczególnych produktów i polityk. Musi być możliwe tworzenie grup statycznych i dynamicznych niezależnie parametrów komputera. </w:t>
      </w:r>
    </w:p>
    <w:p w14:paraId="369DE165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nie musi zawierać dodatkowego agenta do centralnej instalacji i zarządzania. </w:t>
      </w:r>
    </w:p>
    <w:p w14:paraId="61DCAA51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szyfrować komunikację między serwerem a klientami. </w:t>
      </w:r>
    </w:p>
    <w:p w14:paraId="697EE254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zapewnić centralną konfigurację i zarządzanie ochroną antywirusową,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antyspyware’ową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, zaporą osobistą i kontrolą dostępu do stron internetowych zainstalowanymi na stacjach roboczych w sieci. </w:t>
      </w:r>
    </w:p>
    <w:p w14:paraId="43BDA8DA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być wyposażony w kreator konfiguracji zapory osobistej stacji klienckich pracujących w sieci, umożliwiający podgląd i utworzenie globalnych reguł na podstawie dowolnych już istniejących reguł. </w:t>
      </w:r>
    </w:p>
    <w:p w14:paraId="5E038218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uruchomienia centralnego skanowania wybranych stacji roboczych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z opcją wygenerowania raportu ze skanowania i przesłania do konsoli zarządzającej. </w:t>
      </w:r>
    </w:p>
    <w:p w14:paraId="47A2B6D3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sprawdzenia z centralnej konsoli zarządzającej stanu ochrony stacji roboczej (aktualnych ustawień programu, wersji programu i bazy wirusów, wyników skanowania skanera na żądanie i skanerów rezydentnych). </w:t>
      </w:r>
    </w:p>
    <w:p w14:paraId="484C89E7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sprawdzenia z centralnej konsoli zarządzającej podstawowych informacji dotyczących stacji roboczej: adresów IP, adresów MAC, wersji systemu operacyjnego oraz domeny, do której dana stacja robocza należy. </w:t>
      </w:r>
    </w:p>
    <w:p w14:paraId="3B53472C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umożliwiać centralną aktualizację stacji roboczych z serwera w sieci lokalnej lub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z Internetu. </w:t>
      </w:r>
    </w:p>
    <w:p w14:paraId="04DE3E2D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utworzenia centralnego punktu dystrybucji wzorców wirusów. </w:t>
      </w:r>
    </w:p>
    <w:p w14:paraId="5D03F9FF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skanowania sieci z centralnego serwera zarządzającego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w poszukiwaniu niezabezpieczonych stacji roboczych. </w:t>
      </w:r>
    </w:p>
    <w:p w14:paraId="7C9A8792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tworzenia grup stacji roboczych i definiowania w ramach grupy wspólnych ustawień konfiguracyjnymi dla zarządzanych programów. </w:t>
      </w:r>
    </w:p>
    <w:p w14:paraId="4F4FE75F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importowania konfiguracji programu z wybranej stacji roboczej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a następnie przesłanie (skopiowanie) jej na inną stację lub grupę stacji roboczych w sieci. </w:t>
      </w:r>
    </w:p>
    <w:p w14:paraId="476C00C0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zmiany konfiguracji na stacjach z centralnej konsoli zarządzającej lub lokalnie (lokalnie tylko, jeżeli ustawienia programu nie są zabezpieczone hasłem lub użytkownik/administrator zna hasło zabezpieczające ustawienia konfiguracyjne). </w:t>
      </w:r>
    </w:p>
    <w:p w14:paraId="1565AC68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Moduł musi mieć możliwość uruchomienia serwera centralnej administracji i konsoli zarządzającej na wykorzystywanych przez Zamawiającego stacjach z systemem Windows. </w:t>
      </w:r>
    </w:p>
    <w:p w14:paraId="7893BF69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Centralna konsola zarządzająca musi posiadać możliwość powiadamiania o wszystkich zdarzeniach za pomocą poczty elektronicznej, wiadomości SNMP i </w:t>
      </w:r>
      <w:proofErr w:type="spellStart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>syslog</w:t>
      </w:r>
      <w:proofErr w:type="spellEnd"/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 lub wywołania komendy/skryptu. </w:t>
      </w:r>
    </w:p>
    <w:p w14:paraId="572310BC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Centralna konsola zarządzająca musi mieć możliwość integracji z Active Directory zarówno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w rozumieniu powielenia struktury komputerów jak i autentykacji administratorów i dynamicznego przypisywania uprawnień w serwerze zarządzającym w zależności od przynależności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do odpowiedniej grupy w Active Directory. </w:t>
      </w:r>
    </w:p>
    <w:p w14:paraId="7745E438" w14:textId="77777777" w:rsidR="004F543B" w:rsidRPr="004F543B" w:rsidRDefault="004F543B" w:rsidP="004F543B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Verdana" w:eastAsiaTheme="minorHAnsi" w:hAnsi="Verdana" w:cs="Calibri"/>
          <w:color w:val="000000"/>
          <w:kern w:val="0"/>
          <w:sz w:val="16"/>
          <w:szCs w:val="16"/>
        </w:rPr>
      </w:pP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t xml:space="preserve">Centralna konsola zarządzająca musi umożliwiać zdefiniowanie wielu kont administratorów </w:t>
      </w:r>
      <w:r w:rsidRPr="004F543B">
        <w:rPr>
          <w:rFonts w:ascii="Verdana" w:eastAsiaTheme="minorHAnsi" w:hAnsi="Verdana" w:cs="Calibri"/>
          <w:color w:val="000000"/>
          <w:kern w:val="0"/>
          <w:sz w:val="16"/>
          <w:szCs w:val="16"/>
        </w:rPr>
        <w:br/>
        <w:t xml:space="preserve">i przydzielenie im szczegółowych ról umożliwiających co najmniej: </w:t>
      </w:r>
    </w:p>
    <w:p w14:paraId="4F513613" w14:textId="77777777" w:rsidR="004F543B" w:rsidRPr="004F543B" w:rsidRDefault="004F543B" w:rsidP="004F543B">
      <w:pPr>
        <w:spacing w:after="0" w:line="240" w:lineRule="auto"/>
        <w:ind w:left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- ograniczenie dostępu do wskazanych grup maszyn, </w:t>
      </w:r>
    </w:p>
    <w:p w14:paraId="799448F2" w14:textId="77777777" w:rsidR="004F543B" w:rsidRPr="004F543B" w:rsidRDefault="004F543B" w:rsidP="004F543B">
      <w:pPr>
        <w:spacing w:after="0" w:line="240" w:lineRule="auto"/>
        <w:ind w:left="567"/>
        <w:contextualSpacing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- ograniczenie administracji do poszczególnych produktów i ich specyficznych funkcji.</w:t>
      </w:r>
    </w:p>
    <w:p w14:paraId="48BF6825" w14:textId="77777777" w:rsidR="004F543B" w:rsidRPr="004F543B" w:rsidRDefault="004F543B" w:rsidP="004F543B">
      <w:pPr>
        <w:spacing w:after="0" w:line="240" w:lineRule="auto"/>
        <w:ind w:left="1418" w:hanging="851"/>
        <w:jc w:val="both"/>
        <w:rPr>
          <w:rFonts w:ascii="Verdana" w:eastAsiaTheme="minorHAnsi" w:hAnsi="Verdana" w:cstheme="minorBidi"/>
          <w:sz w:val="16"/>
          <w:szCs w:val="16"/>
        </w:rPr>
      </w:pPr>
    </w:p>
    <w:p w14:paraId="720B3392" w14:textId="77777777" w:rsidR="004F543B" w:rsidRPr="004F543B" w:rsidRDefault="004F543B" w:rsidP="004F543B">
      <w:pPr>
        <w:spacing w:after="0" w:line="240" w:lineRule="auto"/>
        <w:ind w:left="567" w:hanging="567"/>
        <w:jc w:val="both"/>
        <w:rPr>
          <w:rFonts w:ascii="Verdana" w:eastAsiaTheme="minorHAnsi" w:hAnsi="Verdana" w:cstheme="minorBidi"/>
          <w:b/>
          <w:sz w:val="16"/>
          <w:szCs w:val="16"/>
        </w:rPr>
      </w:pPr>
      <w:r w:rsidRPr="004F543B">
        <w:rPr>
          <w:rFonts w:ascii="Verdana" w:eastAsiaTheme="minorHAnsi" w:hAnsi="Verdana" w:cstheme="minorBidi"/>
          <w:b/>
          <w:sz w:val="16"/>
          <w:szCs w:val="16"/>
        </w:rPr>
        <w:t xml:space="preserve">9.  </w:t>
      </w:r>
      <w:r w:rsidRPr="004F543B">
        <w:rPr>
          <w:rFonts w:ascii="Verdana" w:eastAsiaTheme="minorHAnsi" w:hAnsi="Verdana" w:cstheme="minorBidi"/>
          <w:b/>
          <w:sz w:val="16"/>
          <w:szCs w:val="16"/>
        </w:rPr>
        <w:tab/>
        <w:t>Opis równoważności.</w:t>
      </w:r>
    </w:p>
    <w:p w14:paraId="32C669F7" w14:textId="77777777" w:rsidR="004F543B" w:rsidRPr="004F543B" w:rsidRDefault="004F543B" w:rsidP="004F543B">
      <w:pPr>
        <w:spacing w:after="0" w:line="240" w:lineRule="auto"/>
        <w:ind w:left="1407" w:hanging="840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9.1.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Zamawiający dopuszcza możliwość dostawy rozwiązania równoważnego do opisanych w pkt. A</w:t>
      </w:r>
      <w:r w:rsidRPr="004F543B">
        <w:rPr>
          <w:rFonts w:asciiTheme="minorHAnsi" w:eastAsiaTheme="minorHAnsi" w:hAnsiTheme="minorHAnsi" w:cstheme="minorBidi"/>
        </w:rPr>
        <w:t> </w:t>
      </w:r>
      <w:r w:rsidRPr="004F543B">
        <w:rPr>
          <w:rFonts w:ascii="Verdana" w:eastAsiaTheme="minorHAnsi" w:hAnsi="Verdana" w:cstheme="minorBidi"/>
          <w:sz w:val="16"/>
          <w:szCs w:val="16"/>
        </w:rPr>
        <w:t>- F.</w:t>
      </w:r>
    </w:p>
    <w:p w14:paraId="00DC0160" w14:textId="77777777" w:rsidR="004F543B" w:rsidRPr="004F543B" w:rsidRDefault="004F543B" w:rsidP="004F543B">
      <w:pPr>
        <w:spacing w:after="0" w:line="240" w:lineRule="auto"/>
        <w:ind w:left="1134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 rozwiązanie równoważne Zamawiający uzna rozwiązanie spełniające wymagania</w:t>
      </w:r>
    </w:p>
    <w:p w14:paraId="132D6EC8" w14:textId="77777777" w:rsidR="004F543B" w:rsidRPr="004F543B" w:rsidRDefault="004F543B" w:rsidP="004F543B">
      <w:pPr>
        <w:spacing w:after="0" w:line="240" w:lineRule="auto"/>
        <w:ind w:left="1701" w:hanging="285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opisane w pkt. A - F oraz poniższe wymagania:</w:t>
      </w:r>
    </w:p>
    <w:p w14:paraId="50FFBD42" w14:textId="77777777" w:rsidR="004F543B" w:rsidRPr="004F543B" w:rsidRDefault="004F543B" w:rsidP="004F543B">
      <w:pPr>
        <w:spacing w:after="0" w:line="240" w:lineRule="auto"/>
        <w:ind w:left="2268" w:hanging="850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9.2.1.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Dostawę oprogramowania i licencji o funkcjonalności nie gorszej od posiadanych przez Zamawiającego.</w:t>
      </w:r>
    </w:p>
    <w:p w14:paraId="7E0C60B5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9.2.2.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Zapewnienie usługi kompletnej nieinwazyjnej deinstalacji dotychczasowego oprogramowania antywirusowego i oprogramowania antyspamowego z całej infrastruktury informatycznej (komputerów i serwerów) Zamawiającego.</w:t>
      </w:r>
    </w:p>
    <w:p w14:paraId="3BE6EC1A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9.2.3.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Zapewnienie usługi kompletnej nieinwazyjnej instalacji i konfiguracji nowego rozwiązania w infrastrukturze informatycznej Zamawiającego.</w:t>
      </w:r>
    </w:p>
    <w:p w14:paraId="24FC6E19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9.2.4.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Zapewnienia dodatkowego wsparcia technicznego (zdalnego oraz, w razie potrzeby, bezpośredniego – realizowanego w siedzibie Zamawiającego) przez Wykonawcę przez okres 3 miesięcy od daty wdrożenia produkcyjnego rozwiązania równoważnego.</w:t>
      </w:r>
    </w:p>
    <w:p w14:paraId="031887F5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9.2.5.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 xml:space="preserve">Przeszkolenie 5 pracowników Zamawiającego z zakresu obsługi, konfiguracji </w:t>
      </w:r>
      <w:r w:rsidRPr="004F543B">
        <w:rPr>
          <w:rFonts w:ascii="Verdana" w:eastAsiaTheme="minorHAnsi" w:hAnsi="Verdana" w:cstheme="minorBidi"/>
          <w:sz w:val="16"/>
          <w:szCs w:val="16"/>
        </w:rPr>
        <w:br/>
        <w:t>i administracji całości rozwiązania równoważnego.</w:t>
      </w:r>
    </w:p>
    <w:p w14:paraId="5F24716F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9.2.6.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Wdrożenie, szkolenie, asysta techniczna i dodatkowe wsparcie techniczne Wykonawcy – w języku polskim w siedzibie Zamawiającego.</w:t>
      </w:r>
    </w:p>
    <w:p w14:paraId="14208858" w14:textId="77777777" w:rsidR="004F543B" w:rsidRPr="004F543B" w:rsidRDefault="004F543B" w:rsidP="004F543B">
      <w:pPr>
        <w:spacing w:after="0" w:line="240" w:lineRule="auto"/>
        <w:ind w:left="2268" w:hanging="852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9.2.7.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Usługi wdrożeniowe równoważnego oprogramowania antywirusowego i oprogramowania antyspamowego zostaną zrealizowane przez Wykonawcę nie później niż w terminie wygaśnięcia posiadanych przez Zamawiającego licencji.</w:t>
      </w:r>
    </w:p>
    <w:p w14:paraId="3F1B5A5B" w14:textId="77777777" w:rsidR="004F543B" w:rsidRPr="004F543B" w:rsidRDefault="004F543B" w:rsidP="004F543B">
      <w:pPr>
        <w:spacing w:after="0" w:line="240" w:lineRule="auto"/>
        <w:ind w:left="1134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9.3.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 xml:space="preserve">Oprogramowanie nie może naruszać bezpieczeństwa publicznego lub istotnego interesu bezpieczeństwa państwa, mając na względzie m.in. fakt, że Zamawiający zgodnie z art. 4 pkt. 7 </w:t>
      </w:r>
      <w:r w:rsidRPr="004F543B">
        <w:rPr>
          <w:rFonts w:ascii="Verdana" w:eastAsiaTheme="minorHAnsi" w:hAnsi="Verdana" w:cstheme="minorBidi"/>
          <w:sz w:val="16"/>
          <w:szCs w:val="16"/>
        </w:rPr>
        <w:lastRenderedPageBreak/>
        <w:t xml:space="preserve">Ustawy o Krajowym systemie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cyberbezpieczeństwa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(tj. Dz. U. z 2026 r. poz. 20), dalej: „Ustawa”, należy do Krajowego systemu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cyberbezpieczeństwa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, którego celem jest zgodnie z art. 3 Ustawy, zapewnienie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cyberbezpieczeństwa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na poziomie krajowym, w tym zapewnienie niezakłóconego świadczenia usług kluczowych i usług cyfrowych, przez osiągnięcie odpowiedniego poziomu bezpieczeństwa systemów informacyjnych służących do świadczenia tych usług oraz zapewnienie obsługi incydentów. Tym samym, Oprogramowanie musi być zgodne z celem Krajowego systemu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cyberbezpieczeństwa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 xml:space="preserve"> </w:t>
      </w:r>
      <w:r w:rsidRPr="004F543B">
        <w:rPr>
          <w:rFonts w:ascii="Verdana" w:eastAsiaTheme="minorHAnsi" w:hAnsi="Verdana" w:cstheme="minorBidi"/>
          <w:sz w:val="16"/>
          <w:szCs w:val="16"/>
        </w:rPr>
        <w:br/>
        <w:t xml:space="preserve">i przepisami Ustawy oraz nie zagrażać </w:t>
      </w:r>
      <w:proofErr w:type="spellStart"/>
      <w:r w:rsidRPr="004F543B">
        <w:rPr>
          <w:rFonts w:ascii="Verdana" w:eastAsiaTheme="minorHAnsi" w:hAnsi="Verdana" w:cstheme="minorBidi"/>
          <w:sz w:val="16"/>
          <w:szCs w:val="16"/>
        </w:rPr>
        <w:t>cyberbezpieczeństwu</w:t>
      </w:r>
      <w:proofErr w:type="spellEnd"/>
      <w:r w:rsidRPr="004F543B">
        <w:rPr>
          <w:rFonts w:ascii="Verdana" w:eastAsiaTheme="minorHAnsi" w:hAnsi="Verdana" w:cstheme="minorBidi"/>
          <w:sz w:val="16"/>
          <w:szCs w:val="16"/>
        </w:rPr>
        <w:t>, bezpieczeństwu publicznemu lub istotnemu interesowi bezpieczeństwa państwa.</w:t>
      </w:r>
    </w:p>
    <w:p w14:paraId="17662C5A" w14:textId="77777777" w:rsidR="004F543B" w:rsidRPr="004F543B" w:rsidRDefault="004F543B" w:rsidP="004F543B">
      <w:pPr>
        <w:spacing w:after="0" w:line="240" w:lineRule="auto"/>
        <w:ind w:left="1134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9.4.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Warunki licencjonowania mają umożliwiać Zamawiającemu (Licencjobiorcy) objęcie dostarczonym oprogramowaniem stacji roboczych należących do podmiotów administracji publicznej, na warunkach zdefiniowanych w dokumencie OPZ.</w:t>
      </w:r>
    </w:p>
    <w:p w14:paraId="45C043A0" w14:textId="77777777" w:rsidR="004F543B" w:rsidRPr="004F543B" w:rsidRDefault="004F543B" w:rsidP="004F543B">
      <w:pPr>
        <w:spacing w:after="0" w:line="240" w:lineRule="auto"/>
        <w:ind w:left="1134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 xml:space="preserve">9.5. 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Dostarczana licencja Oprogramowania musi pochodzić z autoryzowanego przez producenta kanału dystrybucji. Wykonawca jest zobowiązany dostarczyć Zamawiającemu dowody poświadczające autentyczność zakupionych licencji na zasadach określonych przez producenta wraz z dostawą Oprogramowania.</w:t>
      </w:r>
    </w:p>
    <w:p w14:paraId="7BEF1D2D" w14:textId="77777777" w:rsidR="004F543B" w:rsidRPr="004F543B" w:rsidRDefault="004F543B" w:rsidP="004F543B">
      <w:pPr>
        <w:spacing w:after="0" w:line="240" w:lineRule="auto"/>
        <w:ind w:left="1134" w:hanging="567"/>
        <w:jc w:val="both"/>
        <w:rPr>
          <w:rFonts w:ascii="Verdana" w:eastAsiaTheme="minorHAnsi" w:hAnsi="Verdana" w:cstheme="minorBidi"/>
          <w:sz w:val="16"/>
          <w:szCs w:val="16"/>
        </w:rPr>
      </w:pPr>
      <w:r w:rsidRPr="004F543B">
        <w:rPr>
          <w:rFonts w:ascii="Verdana" w:eastAsiaTheme="minorHAnsi" w:hAnsi="Verdana" w:cstheme="minorBidi"/>
          <w:sz w:val="16"/>
          <w:szCs w:val="16"/>
        </w:rPr>
        <w:t>9.6.</w:t>
      </w:r>
      <w:r w:rsidRPr="004F543B">
        <w:rPr>
          <w:rFonts w:ascii="Verdana" w:eastAsiaTheme="minorHAnsi" w:hAnsi="Verdana" w:cstheme="minorBidi"/>
          <w:sz w:val="16"/>
          <w:szCs w:val="16"/>
        </w:rPr>
        <w:tab/>
        <w:t>W przypadku zaoferowania produktu równoważnego, do oferty należy załączyć dokładny opis oferowanych produktów, z którego jasno wynikać będzie zachowanie warunków równoważności.</w:t>
      </w:r>
    </w:p>
    <w:p w14:paraId="0C974CC5" w14:textId="77777777" w:rsidR="00F74240" w:rsidRDefault="00F74240"/>
    <w:sectPr w:rsidR="00F74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A378A9"/>
    <w:multiLevelType w:val="hybridMultilevel"/>
    <w:tmpl w:val="BD96BCF4"/>
    <w:lvl w:ilvl="0" w:tplc="747AF554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AD5688E8"/>
    <w:multiLevelType w:val="hybridMultilevel"/>
    <w:tmpl w:val="14EA919A"/>
    <w:lvl w:ilvl="0" w:tplc="2CEE30D6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D919F6"/>
    <w:multiLevelType w:val="hybridMultilevel"/>
    <w:tmpl w:val="F29047B4"/>
    <w:lvl w:ilvl="0" w:tplc="4142DA1E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90530"/>
    <w:multiLevelType w:val="hybridMultilevel"/>
    <w:tmpl w:val="6FEADD9E"/>
    <w:lvl w:ilvl="0" w:tplc="D520C08E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640EF"/>
    <w:multiLevelType w:val="hybridMultilevel"/>
    <w:tmpl w:val="783C01B4"/>
    <w:lvl w:ilvl="0" w:tplc="0C7A1EAE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B0EA1"/>
    <w:multiLevelType w:val="hybridMultilevel"/>
    <w:tmpl w:val="C68200E2"/>
    <w:lvl w:ilvl="0" w:tplc="FC366516">
      <w:start w:val="8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17D08"/>
    <w:multiLevelType w:val="hybridMultilevel"/>
    <w:tmpl w:val="5D3648BE"/>
    <w:lvl w:ilvl="0" w:tplc="29702416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2DE3923"/>
    <w:multiLevelType w:val="hybridMultilevel"/>
    <w:tmpl w:val="4654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A4A38"/>
    <w:multiLevelType w:val="hybridMultilevel"/>
    <w:tmpl w:val="20549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60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59174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3926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135259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6541900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9752707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739367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74670330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24606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0656322">
    <w:abstractNumId w:val="8"/>
  </w:num>
  <w:num w:numId="11" w16cid:durableId="795567286">
    <w:abstractNumId w:val="3"/>
  </w:num>
  <w:num w:numId="12" w16cid:durableId="1838423687">
    <w:abstractNumId w:val="2"/>
  </w:num>
  <w:num w:numId="13" w16cid:durableId="1351250449">
    <w:abstractNumId w:val="1"/>
  </w:num>
  <w:num w:numId="14" w16cid:durableId="1018626360">
    <w:abstractNumId w:val="0"/>
  </w:num>
  <w:num w:numId="15" w16cid:durableId="1744258865">
    <w:abstractNumId w:val="4"/>
  </w:num>
  <w:num w:numId="16" w16cid:durableId="1569729657">
    <w:abstractNumId w:val="6"/>
  </w:num>
  <w:num w:numId="17" w16cid:durableId="13672196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A7"/>
    <w:rsid w:val="004F543B"/>
    <w:rsid w:val="007B3076"/>
    <w:rsid w:val="00903DA7"/>
    <w:rsid w:val="00A67A96"/>
    <w:rsid w:val="00F7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591C"/>
  <w15:chartTrackingRefBased/>
  <w15:docId w15:val="{01440F7D-0A41-4F97-9994-C1548BF15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DA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03DA7"/>
    <w:rPr>
      <w:color w:val="0563C1" w:themeColor="hyperlink"/>
      <w:u w:val="single"/>
    </w:rPr>
  </w:style>
  <w:style w:type="character" w:customStyle="1" w:styleId="AkapitzlistZnak">
    <w:name w:val="Akapit z listą Znak"/>
    <w:aliases w:val="lp1 Znak,Preambuła Znak,Tytuły Znak,Lista num Znak,Spec. 4. Znak,Akapit z listą3 Znak,Obiekt Znak,BulletC Znak,Akapit z listą31 Znak,NOWY Znak,Akapit z listą32 Znak,L1 Znak,Akapit z list¹ Znak,Akapit z listą BS Znak,CW_Lista Znak"/>
    <w:link w:val="Akapitzlist"/>
    <w:uiPriority w:val="34"/>
    <w:qFormat/>
    <w:locked/>
    <w:rsid w:val="00903DA7"/>
  </w:style>
  <w:style w:type="paragraph" w:styleId="Akapitzlist">
    <w:name w:val="List Paragraph"/>
    <w:aliases w:val="lp1,Preambuła,Tytuły,Lista num,Spec. 4.,Akapit z listą3,Obiekt,BulletC,Akapit z listą31,NOWY,Akapit z listą32,L1,Akapit z list¹,Akapit z listą BS,Kolorowa lista — akcent 11,CW_Lista,List Paragraph,sw tekst,List Paragraph_0,Numerowanie"/>
    <w:basedOn w:val="Normalny"/>
    <w:link w:val="AkapitzlistZnak"/>
    <w:uiPriority w:val="34"/>
    <w:qFormat/>
    <w:rsid w:val="00903DA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qFormat/>
    <w:rsid w:val="00903D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stepowania-it@kopernik.lod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3770</Words>
  <Characters>22620</Characters>
  <Application>Microsoft Office Word</Application>
  <DocSecurity>0</DocSecurity>
  <Lines>188</Lines>
  <Paragraphs>52</Paragraphs>
  <ScaleCrop>false</ScaleCrop>
  <Company/>
  <LinksUpToDate>false</LinksUpToDate>
  <CharactersWithSpaces>26338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Bojanowski</dc:creator>
  <cp:keywords/>
  <dc:description/>
  <cp:lastModifiedBy>Jacek Bojanowski</cp:lastModifiedBy>
  <cp:revision>5</cp:revision>
  <dcterms:created xsi:type="dcterms:W3CDTF">2026-04-15T08:57:00Z</dcterms:created>
  <dcterms:modified xsi:type="dcterms:W3CDTF">2026-04-22T07:22:00Z</dcterms:modified>
</cp:coreProperties>
</file>